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湖南新闻奖组织报送参评作品推荐表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08"/>
        <w:gridCol w:w="1353"/>
        <w:gridCol w:w="76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作品标题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（主）“44颗石榴籽”甜蜜了邵阳腊八节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（副）5名在邵经商的新疆维吾尔族青年爱心拥抱特困群众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参评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项目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体裁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报纸文字消息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语种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（主创人员）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袁光宇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编辑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周金林 黄仁发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刊播单位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邵阳日报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首发日期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刊播版面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（版次）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作品字数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（时长）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977字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作品网址链接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instrText xml:space="preserve"> HYPERLINK "http://szb.shaoyangnews.net/syrb/pc/content/202101/25/content_20704.html" </w:instrTex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fldChar w:fldCharType="separate"/>
            </w:r>
            <w:r>
              <w:rPr>
                <w:rStyle w:val="12"/>
                <w:rFonts w:hint="eastAsia" w:ascii="仿宋" w:hAnsi="仿宋" w:eastAsia="仿宋" w:cs="仿宋"/>
                <w:vertAlign w:val="baseline"/>
                <w:lang w:eastAsia="zh-CN"/>
              </w:rPr>
              <w:t>http://szb.shaoyangnews.net/syrb/pc/content/202101/25/content_20704.html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采编过程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作品简介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2310" w:firstLineChars="1100"/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社会效果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习近平总书记殷切嘱咐: "各民族要像石榴籽一样紧紧抱在一起。”该文见报并通过网络传播后,在全市全省乃至全国引起强烈影响,广大受众通过这篇报道,看到了一幅“中华民族一家亲”的壮丽画卷。当前,来邵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阳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经商的新疆维吾尔族同胞从邵阳市区扩展到各个县市区及部分乡镇；与此同时,前往新疆务工经商的邵阳人也明显增加。该文紧扣邵阳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市城乡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共有44个民族这一特征,然后以"石榴籽”巧妙入题,生动自然,很有吸引力。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推荐理由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本文以小见大，用典型事例展现了民族团结的大主题。同意推荐。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（盖单位公章）</w:t>
            </w: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报送意见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 （盖单位公章）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袁光宇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手机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13574930333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地址（作者）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湖南省邵阳市双清区邵阳大道邵阳日报社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邮编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422000</w:t>
            </w:r>
          </w:p>
        </w:tc>
      </w:tr>
    </w:tbl>
    <w:p>
      <w:pPr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采编过程作品简介：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本文作者袁光宇，在邵阳日报社从事新闻工作20余年,与在邵阳从事新疆烧烤的巴克尔家族两代人都是亲密朋友。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邵阳44个民族的人民群众，经过2020年新冠肺炎疫情防控背景下的相濡以沫，更加心心相印、生死与共。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2021年新春佳节来临之前,年轻的巴克尔二代提出,富裕起来了的他们,要用实际行动回馈和反哺亲如兄弟姐妹的邵阳人民。</w:t>
      </w:r>
    </w:p>
    <w:p>
      <w:pPr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经过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本文作者袁光宇</w:t>
      </w:r>
      <w:r>
        <w:rPr>
          <w:rFonts w:hint="eastAsia" w:ascii="仿宋" w:hAnsi="仿宋" w:eastAsia="仿宋" w:cs="仿宋"/>
          <w:vertAlign w:val="baseline"/>
          <w:lang w:eastAsia="zh-CN"/>
        </w:rPr>
        <w:t>多方牵线搭桥,在邵阳市民宗局和邵阳市属三区党委的支持下, 44份春节礼物于腊八节（</w:t>
      </w:r>
      <w:r>
        <w:rPr>
          <w:rFonts w:hint="eastAsia" w:ascii="仿宋" w:hAnsi="仿宋" w:eastAsia="仿宋" w:cs="仿宋"/>
          <w:vertAlign w:val="baseline"/>
          <w:lang w:val="en-US" w:eastAsia="zh-CN"/>
        </w:rPr>
        <w:t>2021年1月20日</w:t>
      </w:r>
      <w:r>
        <w:rPr>
          <w:rFonts w:hint="eastAsia" w:ascii="仿宋" w:hAnsi="仿宋" w:eastAsia="仿宋" w:cs="仿宋"/>
          <w:vertAlign w:val="baseline"/>
          <w:lang w:eastAsia="zh-CN"/>
        </w:rPr>
        <w:t>）当天,带着新疆维吾尔族青年一代的滚烫爱心,及时送到邵阳市区44户贫困家庭家中。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作品二维码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28545" cy="2328545"/>
            <wp:effectExtent l="0" t="0" r="14605" b="14605"/>
            <wp:docPr id="4" name="图片 4" descr="2021 1 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 1 25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6747"/>
    <w:rsid w:val="00BA1E83"/>
    <w:rsid w:val="01D8490C"/>
    <w:rsid w:val="02230A6A"/>
    <w:rsid w:val="03104212"/>
    <w:rsid w:val="0428225E"/>
    <w:rsid w:val="052440E9"/>
    <w:rsid w:val="07391925"/>
    <w:rsid w:val="096477D3"/>
    <w:rsid w:val="0B692F4B"/>
    <w:rsid w:val="0E1A7741"/>
    <w:rsid w:val="0EA26E61"/>
    <w:rsid w:val="115811A6"/>
    <w:rsid w:val="11D730E3"/>
    <w:rsid w:val="11E25ADC"/>
    <w:rsid w:val="12102A91"/>
    <w:rsid w:val="16FB7365"/>
    <w:rsid w:val="1A7D2987"/>
    <w:rsid w:val="1B60621C"/>
    <w:rsid w:val="1BCC2867"/>
    <w:rsid w:val="1D143AC0"/>
    <w:rsid w:val="1D6E0562"/>
    <w:rsid w:val="1E165824"/>
    <w:rsid w:val="1EB51B9C"/>
    <w:rsid w:val="221F7DEA"/>
    <w:rsid w:val="235E3287"/>
    <w:rsid w:val="239E4E8D"/>
    <w:rsid w:val="241035B6"/>
    <w:rsid w:val="244E630D"/>
    <w:rsid w:val="28603E4E"/>
    <w:rsid w:val="2A8847D9"/>
    <w:rsid w:val="32744D3E"/>
    <w:rsid w:val="33C327C5"/>
    <w:rsid w:val="33C95497"/>
    <w:rsid w:val="3BE73D3D"/>
    <w:rsid w:val="40E7057F"/>
    <w:rsid w:val="41940902"/>
    <w:rsid w:val="426309EE"/>
    <w:rsid w:val="47076AD4"/>
    <w:rsid w:val="48193161"/>
    <w:rsid w:val="497901E3"/>
    <w:rsid w:val="4B724542"/>
    <w:rsid w:val="502446FC"/>
    <w:rsid w:val="502A7561"/>
    <w:rsid w:val="50B86A29"/>
    <w:rsid w:val="53FE0789"/>
    <w:rsid w:val="54E56EE6"/>
    <w:rsid w:val="571A61E3"/>
    <w:rsid w:val="62CF6747"/>
    <w:rsid w:val="64160940"/>
    <w:rsid w:val="69A53402"/>
    <w:rsid w:val="6E6F01F3"/>
    <w:rsid w:val="70F61248"/>
    <w:rsid w:val="73C173E5"/>
    <w:rsid w:val="74A94996"/>
    <w:rsid w:val="754C1BE8"/>
    <w:rsid w:val="757C0469"/>
    <w:rsid w:val="78383234"/>
    <w:rsid w:val="79CE46C1"/>
    <w:rsid w:val="7B996370"/>
    <w:rsid w:val="7C7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660" w:lineRule="exact"/>
      <w:ind w:firstLine="645"/>
    </w:pPr>
    <w:rPr>
      <w:rFonts w:ascii="仿宋_GB2312" w:eastAsia="仿宋_GB2312"/>
      <w:kern w:val="0"/>
      <w:sz w:val="32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2021-03-08T11:41:00Z</dcterms:created>
  <dc:creator>晴</dc:creator>
  <cp:lastModifiedBy>牵着你的小手</cp:lastModifiedBy>
  <cp:lastPrinted>2021-03-09T01:34:00Z</cp:lastPrinted>
  <dcterms:modified xsi:type="dcterms:W3CDTF">2022-02-28T00:29:05Z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BC5E7B13FF8E46C1A7D59A2394C9B256</vt:lpwstr>
  </property>
</Properties>
</file>