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市委中心组学习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/>
              </w:rPr>
              <w:t>负责为全市各级党委（党组）理论学习中心组学习提供有关服务，组织实施理论宣讲活动。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60万元。其中本年专项（项目）资金 60万元（1.中央财政     万元，2.省级财政    万元，3.市级财政  60万元，4.其它资金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市委中心学习组项目经费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加强党委（党组）理论学习中心组学习规范化建设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 w:leftChars="50" w:hanging="1050" w:hangingChars="3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C6BF1"/>
    <w:rsid w:val="0022208F"/>
    <w:rsid w:val="00390423"/>
    <w:rsid w:val="003F535C"/>
    <w:rsid w:val="004069EE"/>
    <w:rsid w:val="00517F34"/>
    <w:rsid w:val="00701913"/>
    <w:rsid w:val="00895169"/>
    <w:rsid w:val="008B3FBD"/>
    <w:rsid w:val="008D5AAC"/>
    <w:rsid w:val="009148C2"/>
    <w:rsid w:val="00C543C6"/>
    <w:rsid w:val="00C633B1"/>
    <w:rsid w:val="00C8683C"/>
    <w:rsid w:val="00CA4B94"/>
    <w:rsid w:val="00D3280C"/>
    <w:rsid w:val="00E61CE9"/>
    <w:rsid w:val="00F01CE3"/>
    <w:rsid w:val="00F1398A"/>
    <w:rsid w:val="00F7048D"/>
    <w:rsid w:val="138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950</Characters>
  <Lines>7</Lines>
  <Paragraphs>2</Paragraphs>
  <TotalTime>4</TotalTime>
  <ScaleCrop>false</ScaleCrop>
  <LinksUpToDate>false</LinksUpToDate>
  <CharactersWithSpaces>1114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2021-01-26T05:43:00Z</dcterms:created>
  <dc:creator>Administrator</dc:creator>
  <cp:lastModifiedBy>Administrator</cp:lastModifiedBy>
  <cp:lastPrinted>2021-01-26T07:55:13Z</cp:lastPrinted>
  <dcterms:modified xsi:type="dcterms:W3CDTF">2021-01-26T07:55:28Z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