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bCs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sz w:val="44"/>
          <w:szCs w:val="44"/>
          <w:lang w:val="en-US" w:eastAsia="zh-CN"/>
        </w:rPr>
        <w:t>市委网信办2021年财政预算信息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方正小标宋_GBK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宋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目</w:t>
      </w:r>
      <w:r>
        <w:rPr>
          <w:rFonts w:hint="eastAsia" w:ascii="黑体" w:hAnsi="宋体" w:eastAsia="黑体"/>
          <w:b/>
          <w:bCs/>
          <w:sz w:val="32"/>
          <w:szCs w:val="32"/>
        </w:rPr>
        <w:t xml:space="preserve">   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7"/>
          <w:rFonts w:ascii="微软雅黑" w:hAnsi="微软雅黑" w:eastAsia="微软雅黑"/>
          <w:color w:val="40404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第一部分、2021年度部门预算情况说明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一、部门基本概况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二、部门预算单位构成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三、部门收支总体情况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四、一般公共预算拨款支出预算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五、“三公”经费预算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六、一般性支出预算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七、其他重要事项的情况说明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八、名词解释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第二部分、20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宋体" w:eastAsia="黑体"/>
          <w:sz w:val="32"/>
          <w:szCs w:val="32"/>
          <w:lang w:eastAsia="zh-CN"/>
        </w:rPr>
        <w:t>年度部门预算报表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一、部门收支总表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二、部门收入总表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三、部门支出总表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四、财政拨款收支总表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五、一般公共预算支出表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六、一般公共预算基本支出表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七、政府性基金预算支出表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八、"三公"经费支出表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九、政府采购预算表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十、一般性支出预算表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十一、新增资产申报表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十二、20</w:t>
      </w: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  <w:t>年部门整体支出绩效目标申报表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1" w:after="300" w:line="600" w:lineRule="exact"/>
        <w:jc w:val="both"/>
        <w:textAlignment w:val="auto"/>
        <w:rPr>
          <w:rFonts w:hint="eastAsia" w:ascii="仿宋_GB2312" w:hAnsi="宋体" w:eastAsia="仿宋_GB2312" w:cs="Arial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第一部分</w:t>
      </w:r>
      <w:r>
        <w:rPr>
          <w:rFonts w:eastAsia="黑体"/>
          <w:bCs/>
          <w:sz w:val="32"/>
          <w:szCs w:val="32"/>
          <w:lang w:val="en-US" w:eastAsia="zh-CN"/>
        </w:rPr>
        <w:pict>
          <v:shape id="_tx_ignore" o:spid="_x0000_s1026" o:spt="202" type="#_x0000_t202" style="position:absolute;left:0pt;margin-left:90pt;margin-top:61.7pt;height:10.3pt;width:432pt;mso-position-horizontal-relative:page;mso-position-vertical-relative:page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0"/>
                    <w:rPr>
                      <w:rFonts w:ascii="Arial" w:hAnsi="Arial" w:eastAsia="Arial"/>
                      <w:b/>
                      <w:color w:val="808080"/>
                      <w:sz w:val="12"/>
                    </w:rPr>
                  </w:pPr>
                </w:p>
              </w:txbxContent>
            </v:textbox>
          </v:shape>
        </w:pict>
      </w:r>
      <w:r>
        <w:rPr>
          <w:rFonts w:hint="eastAsia" w:eastAsia="黑体"/>
          <w:bCs/>
          <w:sz w:val="32"/>
          <w:szCs w:val="32"/>
          <w:lang w:val="en-US" w:eastAsia="zh-CN"/>
        </w:rPr>
        <w:t xml:space="preserve">  </w:t>
      </w:r>
      <w:r>
        <w:rPr>
          <w:rStyle w:val="7"/>
          <w:rFonts w:hint="eastAsia" w:ascii="宋体" w:hAnsi="宋体" w:cs="宋体"/>
          <w:color w:val="40404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黑体"/>
          <w:bCs/>
          <w:sz w:val="32"/>
          <w:szCs w:val="32"/>
          <w:lang w:val="en-US" w:eastAsia="zh-CN"/>
        </w:rPr>
        <w:t>市委网信办</w:t>
      </w:r>
      <w:r>
        <w:rPr>
          <w:rFonts w:eastAsia="黑体"/>
          <w:bCs/>
          <w:sz w:val="32"/>
          <w:szCs w:val="32"/>
          <w:lang w:val="en-US" w:eastAsia="zh-CN"/>
        </w:rPr>
        <w:t>20</w:t>
      </w:r>
      <w:r>
        <w:rPr>
          <w:rFonts w:hint="eastAsia" w:eastAsia="黑体"/>
          <w:bCs/>
          <w:sz w:val="32"/>
          <w:szCs w:val="32"/>
          <w:lang w:val="en-US" w:eastAsia="zh-CN"/>
        </w:rPr>
        <w:t>21</w:t>
      </w:r>
      <w:r>
        <w:rPr>
          <w:rFonts w:eastAsia="黑体"/>
          <w:bCs/>
          <w:sz w:val="32"/>
          <w:szCs w:val="32"/>
          <w:lang w:val="en-US" w:eastAsia="zh-CN"/>
        </w:rPr>
        <w:t>年</w:t>
      </w:r>
      <w:r>
        <w:rPr>
          <w:rFonts w:hint="eastAsia" w:eastAsia="黑体"/>
          <w:bCs/>
          <w:sz w:val="32"/>
          <w:szCs w:val="32"/>
          <w:lang w:val="en-US" w:eastAsia="zh-CN"/>
        </w:rPr>
        <w:t>部门</w:t>
      </w:r>
      <w:r>
        <w:rPr>
          <w:rFonts w:eastAsia="黑体"/>
          <w:bCs/>
          <w:sz w:val="32"/>
          <w:szCs w:val="32"/>
          <w:lang w:val="en-US" w:eastAsia="zh-CN"/>
        </w:rPr>
        <w:t>预算编制说明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一、部门基本概况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（一）职责职能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ab/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eastAsia="仿宋_GB2312" w:cs="Arial"/>
          <w:color w:val="000000"/>
          <w:sz w:val="32"/>
          <w:szCs w:val="32"/>
          <w:shd w:val="clear" w:color="FFFFFF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负责全市网络安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全及信息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化工作（内容涉密，不予公开）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fldChar w:fldCharType="begin">
          <w:fldData xml:space="preserve">QwAzAEIAMgBDAEIAMgBBADYANgA1AEIANABFAEEANwBCAEQAQgA4ADAAMAA5ADQAQgA3ADYAQwBF
ADgAQQBFAA==
</w:fldData>
        </w:fldChar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instrText xml:space="preserve">Addin 单位职能概述</w:instrTex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fldChar w:fldCharType="separate"/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highlight w:val="darkRed"/>
          <w:shd w:val="clear" w:color="auto" w:fill="FFFFFF"/>
        </w:rPr>
        <w:fldChar w:fldCharType="end"/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（二）机构设置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1.机关本级：中共邵阳市委网络安全和信息化委员会办公室  正处级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2.直属事业单位：邵阳市网络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安全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和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舆情监控应急指挥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中心  正科级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公益一类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事业单位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二、部门预算单位构成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中共邵阳市委网络安全和信息化委员会办公室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所决算包括所本级决算。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三、部门收支总体情况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（一）收入预算：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/>
        </w:rPr>
        <w:t>21</w:t>
      </w:r>
      <w:r>
        <w:rPr>
          <w:rFonts w:hint="eastAsia" w:ascii="仿宋_GB2312" w:eastAsia="仿宋_GB2312"/>
          <w:sz w:val="32"/>
          <w:szCs w:val="32"/>
        </w:rPr>
        <w:t>年年初预算数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750.04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/>
        </w:rPr>
        <w:t>其中，一般公共预算拨款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750.04</w:t>
      </w:r>
      <w:r>
        <w:rPr>
          <w:rFonts w:hint="eastAsia" w:ascii="仿宋_GB2312" w:eastAsia="仿宋_GB2312"/>
          <w:sz w:val="32"/>
          <w:szCs w:val="32"/>
          <w:lang w:val="en-US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  <w:lang w:val="en-US"/>
        </w:rPr>
        <w:t>政府性基金预算拨款，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  <w:lang w:val="en-US"/>
        </w:rPr>
        <w:t>纳入专户管理的非税收入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 w:cs="宋体"/>
          <w:sz w:val="32"/>
          <w:szCs w:val="32"/>
        </w:rPr>
        <w:t>收入较去年增加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333.14</w:t>
      </w:r>
      <w:r>
        <w:rPr>
          <w:rFonts w:hint="eastAsia" w:ascii="仿宋_GB2312" w:eastAsia="仿宋_GB2312" w:cs="宋体"/>
          <w:sz w:val="32"/>
          <w:szCs w:val="32"/>
        </w:rPr>
        <w:t>万元，</w:t>
      </w:r>
      <w:r>
        <w:rPr>
          <w:rFonts w:hint="eastAsia" w:ascii="仿宋_GB2312" w:eastAsia="仿宋_GB2312" w:cs="宋体"/>
          <w:sz w:val="32"/>
          <w:szCs w:val="32"/>
          <w:lang w:val="en-US"/>
        </w:rPr>
        <w:t>增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长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79.9</w:t>
      </w:r>
      <w:r>
        <w:rPr>
          <w:rFonts w:hint="eastAsia" w:ascii="仿宋_GB2312" w:eastAsia="仿宋_GB2312"/>
          <w:sz w:val="32"/>
          <w:szCs w:val="32"/>
          <w:lang w:val="en-US"/>
        </w:rPr>
        <w:t>%，原因是：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本单位是2019年因机构改革新成立，2020年市财政预算时缺编人员近一半，2020年下半年人员才正式满编；同时，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的二级机构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邵阳市网络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安全和舆情监控应急指挥中心也已正式建成并投入使用，需增加相关项目经费列支</w:t>
      </w:r>
      <w:r>
        <w:rPr>
          <w:rFonts w:hint="eastAsia" w:ascii="仿宋_GB2312" w:eastAsia="仿宋_GB2312"/>
          <w:sz w:val="32"/>
          <w:szCs w:val="32"/>
          <w:lang w:val="en-US"/>
        </w:rPr>
        <w:t>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（二）支出预算：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/>
        </w:rPr>
        <w:t>21</w:t>
      </w:r>
      <w:r>
        <w:rPr>
          <w:rFonts w:hint="eastAsia" w:ascii="仿宋_GB2312" w:eastAsia="仿宋_GB2312"/>
          <w:sz w:val="32"/>
          <w:szCs w:val="32"/>
        </w:rPr>
        <w:t>年年初预算数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750.04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/>
        </w:rPr>
        <w:t>其中，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>一般公共服务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750.04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>万元。支出较去年增加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333.14</w:t>
      </w:r>
      <w:r>
        <w:rPr>
          <w:rFonts w:hint="eastAsia" w:ascii="仿宋_GB2312" w:eastAsia="仿宋_GB2312" w:cs="宋体"/>
          <w:sz w:val="32"/>
          <w:szCs w:val="32"/>
        </w:rPr>
        <w:t>万元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_GB2312" w:eastAsia="仿宋_GB2312" w:cs="宋体"/>
          <w:sz w:val="32"/>
          <w:szCs w:val="32"/>
          <w:lang w:val="en-US"/>
        </w:rPr>
        <w:t>增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长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79.9</w:t>
      </w:r>
      <w:r>
        <w:rPr>
          <w:rFonts w:hint="eastAsia" w:ascii="仿宋_GB2312" w:eastAsia="仿宋_GB2312"/>
          <w:sz w:val="32"/>
          <w:szCs w:val="32"/>
          <w:lang w:val="en-US"/>
        </w:rPr>
        <w:t>%，原因是：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本单位是2019年因机构改革新成立，2020年市财政预算时缺编人员近一半，2020年下半年人员才正式满编；同时，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的二级机构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邵阳市网络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安全和舆情监控应急指挥中心也已正式建成并投入使用，需增加相关项目经费列支</w:t>
      </w:r>
      <w:r>
        <w:rPr>
          <w:rFonts w:hint="eastAsia" w:ascii="仿宋_GB2312" w:eastAsia="仿宋_GB2312"/>
          <w:sz w:val="32"/>
          <w:szCs w:val="32"/>
          <w:lang w:val="en-US"/>
        </w:rPr>
        <w:t>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四、一般公共预算拨款支出预算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/>
        </w:rPr>
        <w:t>2021年一般公共预算拨款支出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750.04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万元。基本支出：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300.04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万元，其中：工资福利支出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252.03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万元,商品和福利支出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47.19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万元,对个人和家庭补助支出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0.82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万元。项目支出：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450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万元。</w:t>
      </w:r>
      <w:r>
        <w:rPr>
          <w:rFonts w:eastAsia="仿宋_GB2312"/>
          <w:sz w:val="32"/>
          <w:szCs w:val="32"/>
        </w:rPr>
        <w:t>其中：</w:t>
      </w:r>
      <w:r>
        <w:rPr>
          <w:rFonts w:hint="eastAsia" w:eastAsia="仿宋_GB2312"/>
          <w:sz w:val="32"/>
          <w:szCs w:val="32"/>
        </w:rPr>
        <w:t>专项商品和服务支出</w:t>
      </w:r>
      <w:r>
        <w:rPr>
          <w:rFonts w:hint="eastAsia" w:eastAsia="仿宋_GB2312"/>
          <w:sz w:val="32"/>
          <w:szCs w:val="32"/>
          <w:lang w:val="en-US" w:eastAsia="zh-CN"/>
        </w:rPr>
        <w:t>450</w:t>
      </w:r>
      <w:r>
        <w:rPr>
          <w:rFonts w:hint="eastAsia" w:eastAsia="仿宋_GB2312"/>
          <w:sz w:val="32"/>
          <w:szCs w:val="32"/>
        </w:rPr>
        <w:t>万元，主要用于含主流网络媒体舆情服务合作、全市关键信息基础设施网络安全检查第三方技术服务、网络安全经费、省以上网络主流媒体上稿奖励及主流媒体正面宣传合作、承接产业转移等网络重大主题宣传、网评员指挥管理系统运维经费、购买邵阳市互联网行业协会服务经费、网络文明志愿者服务宣传活动资料经费、</w:t>
      </w:r>
      <w:r>
        <w:rPr>
          <w:rFonts w:hint="eastAsia" w:eastAsia="仿宋_GB2312"/>
          <w:sz w:val="32"/>
          <w:szCs w:val="32"/>
          <w:lang w:val="en-US" w:eastAsia="zh-CN"/>
        </w:rPr>
        <w:t>网信工作业务</w:t>
      </w:r>
      <w:r>
        <w:rPr>
          <w:rFonts w:hint="eastAsia" w:eastAsia="仿宋_GB2312"/>
          <w:sz w:val="32"/>
          <w:szCs w:val="32"/>
        </w:rPr>
        <w:t>培训经费、</w:t>
      </w:r>
      <w:r>
        <w:rPr>
          <w:rFonts w:hint="eastAsia" w:eastAsia="仿宋_GB2312"/>
          <w:sz w:val="32"/>
          <w:szCs w:val="32"/>
          <w:lang w:val="en-US" w:eastAsia="zh-CN"/>
        </w:rPr>
        <w:t>市</w:t>
      </w:r>
      <w:r>
        <w:rPr>
          <w:rFonts w:hint="eastAsia" w:eastAsia="仿宋_GB2312"/>
          <w:sz w:val="32"/>
          <w:szCs w:val="32"/>
        </w:rPr>
        <w:t>网络安全和舆情监控应急指挥中心维护和运行费。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宋体"/>
          <w:sz w:val="32"/>
          <w:szCs w:val="32"/>
          <w:lang w:val="en-US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五、“三公”经费预算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宋体"/>
          <w:sz w:val="32"/>
          <w:szCs w:val="32"/>
          <w:lang w:val="en-US"/>
        </w:rPr>
      </w:pPr>
      <w:r>
        <w:rPr>
          <w:rFonts w:hint="eastAsia" w:ascii="仿宋_GB2312" w:eastAsia="仿宋_GB2312" w:cs="宋体"/>
          <w:sz w:val="32"/>
          <w:szCs w:val="32"/>
          <w:lang w:val="en-US"/>
        </w:rPr>
        <w:t>2021年“三公”经费预算数为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万元，其中：因公出国（境）费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万元，公务用车购置及运行费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万元（其中公务用车运行费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万元），公务接待费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eastAsia="仿宋_GB2312" w:cs="宋体"/>
          <w:sz w:val="32"/>
          <w:szCs w:val="32"/>
          <w:lang w:val="en-US"/>
        </w:rPr>
      </w:pPr>
      <w:r>
        <w:rPr>
          <w:rFonts w:hint="eastAsia" w:ascii="仿宋_GB2312" w:eastAsia="仿宋_GB2312" w:cs="宋体"/>
          <w:sz w:val="32"/>
          <w:szCs w:val="32"/>
          <w:lang w:val="en-US"/>
        </w:rPr>
        <w:t>2021年“三公”经费预算较2020年减少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万元主要是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贯彻落实中央政策要求</w:t>
      </w:r>
      <w:r>
        <w:rPr>
          <w:rFonts w:hint="eastAsia" w:ascii="仿宋_GB2312" w:eastAsia="仿宋_GB2312" w:cs="宋体"/>
          <w:sz w:val="32"/>
          <w:szCs w:val="32"/>
          <w:lang w:val="en-US"/>
        </w:rPr>
        <w:t>“三公”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经费只减不增</w:t>
      </w:r>
      <w:r>
        <w:rPr>
          <w:rFonts w:hint="eastAsia" w:ascii="仿宋_GB2312" w:eastAsia="仿宋_GB2312" w:cs="宋体"/>
          <w:sz w:val="32"/>
          <w:szCs w:val="32"/>
          <w:lang w:val="en-US"/>
        </w:rPr>
        <w:t>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eastAsia="仿宋_GB2312" w:cs="宋体"/>
          <w:sz w:val="32"/>
          <w:szCs w:val="32"/>
          <w:lang w:val="en-US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sz w:val="32"/>
          <w:szCs w:val="32"/>
          <w:lang w:val="en-US"/>
        </w:rPr>
        <w:t>一般性支出预算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eastAsia="仿宋_GB2312" w:cs="宋体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宋体"/>
          <w:sz w:val="32"/>
          <w:szCs w:val="32"/>
          <w:lang w:val="en-US"/>
        </w:rPr>
        <w:t xml:space="preserve">    2021年一般性支出预算数为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43.08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万元，其中：办公费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5.2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万元，印刷费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5.6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，水费0.5万元，电费1.08万元，邮电费0.5万元，差旅费3万元，租赁费1.8万元，会议费2.1万元，培训费1.3万元，</w:t>
      </w:r>
      <w:r>
        <w:rPr>
          <w:rFonts w:hint="eastAsia" w:ascii="仿宋_GB2312" w:eastAsia="仿宋_GB2312" w:cs="宋体"/>
          <w:sz w:val="32"/>
          <w:szCs w:val="32"/>
          <w:lang w:val="en-US"/>
        </w:rPr>
        <w:t>公务接待费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宋体"/>
          <w:sz w:val="32"/>
          <w:szCs w:val="32"/>
          <w:lang w:val="en-US"/>
        </w:rPr>
        <w:t>公务用车运行维护费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12万元</w:t>
      </w:r>
      <w:r>
        <w:rPr>
          <w:rFonts w:hint="eastAsia" w:ascii="仿宋_GB2312" w:eastAsia="仿宋_GB2312" w:cs="宋体"/>
          <w:sz w:val="32"/>
          <w:szCs w:val="32"/>
          <w:lang w:val="en-US"/>
        </w:rPr>
        <w:t>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sz w:val="32"/>
          <w:szCs w:val="32"/>
          <w:lang w:val="en-US"/>
        </w:rPr>
      </w:pPr>
      <w:r>
        <w:rPr>
          <w:rFonts w:hint="eastAsia" w:ascii="仿宋_GB2312" w:eastAsia="仿宋_GB2312" w:cs="宋体"/>
          <w:sz w:val="32"/>
          <w:szCs w:val="32"/>
          <w:lang w:val="en-US"/>
        </w:rPr>
        <w:t>2021年一般性支出预算较2020年减少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177.04</w:t>
      </w:r>
      <w:r>
        <w:rPr>
          <w:rFonts w:hint="eastAsia" w:ascii="仿宋_GB2312" w:eastAsia="仿宋_GB2312" w:cs="宋体"/>
          <w:sz w:val="32"/>
          <w:szCs w:val="32"/>
          <w:lang w:val="en-US"/>
        </w:rPr>
        <w:t>万元，主要是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因工作需要将项目经费进行调整</w:t>
      </w:r>
      <w:r>
        <w:rPr>
          <w:rFonts w:hint="eastAsia" w:ascii="仿宋_GB2312" w:eastAsia="仿宋_GB2312" w:cs="宋体"/>
          <w:sz w:val="32"/>
          <w:szCs w:val="32"/>
          <w:lang w:val="en-US"/>
        </w:rPr>
        <w:t>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sz w:val="32"/>
          <w:szCs w:val="32"/>
          <w:lang w:val="en-US"/>
        </w:rPr>
      </w:pP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七、其他重要事项的情况说明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（一）机关运行经费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2021年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  <w:t>中共邵阳市委网络安全和信息化委员会办公室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机关运行经费财政拨款预算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47.19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比20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10.69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上升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29.2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%,主要是原因是：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本单位是2019年因机构改革新成立，2020年市财政预算时缺编人员近一半，2020年下半年人员才正式满编；同时，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的二级机构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邵阳市网络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安全和舆情监控应急指挥中心也已正式建成并投入使用，需增加相关项目经费列支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（二）政府性基金预算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/>
        </w:rPr>
        <w:t>2021年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中共邵阳市委网络安全和信息化委员会办公室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/>
        </w:rPr>
        <w:t>没有使用政府性基金拨款安排的预算。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（三）政府采购情况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val="en-US"/>
        </w:rPr>
        <w:t>2021年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中共邵阳市委网络安全和信息化委员会办公室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>政府采购预算总额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435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>万元，其中：政府采购货物类预算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>万元、政府采购服务类预算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420</w:t>
      </w: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>万元。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</w:rPr>
        <w:t>（四）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国有资产占有使用情况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截止2020年底，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中共邵阳市委网络安全和信息化委员会办公室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共有公务用车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  <w:t>。2021年没有新增资产配置预算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>预算绩效目标设置情况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年度部门整体支出和项目支出（重点项目）均实施了绩效目标管理，填报了预算绩效目标申报表（见附件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年度部门整体支出实施了绩效目标管理，填报了预算绩效目标申报表（见附件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），本单位在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年度无重点项目资金预算。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800" w:firstLineChars="25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八、名词解释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300" w:leftChars="150" w:firstLine="472" w:firstLineChars="14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Arial"/>
          <w:b/>
          <w:bCs/>
          <w:color w:val="333333"/>
          <w:sz w:val="32"/>
          <w:szCs w:val="32"/>
          <w:shd w:val="clear" w:color="auto" w:fill="FFFFFF"/>
          <w:lang w:val="en-US"/>
        </w:rPr>
        <w:t>1、机关（事业）运行经费：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为保障行政（事业）单位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100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300" w:leftChars="15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eastAsia="仿宋_GB2312" w:cs="Arial"/>
          <w:b/>
          <w:bCs/>
          <w:color w:val="333333"/>
          <w:sz w:val="32"/>
          <w:szCs w:val="32"/>
          <w:shd w:val="clear" w:color="auto" w:fill="FFFFFF"/>
          <w:lang w:val="en-US"/>
        </w:rPr>
        <w:t>2、“三公”经费：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指本部门当年部门预算安排的因公出国（境）费用、公务接待费、公务用车购置和运行维护费预算数。</w:t>
      </w:r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100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300" w:leftChars="150" w:firstLine="640" w:firstLineChars="200"/>
        <w:jc w:val="both"/>
        <w:textAlignment w:val="auto"/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tabs>
          <w:tab w:val="left" w:pos="420"/>
          <w:tab w:val="left" w:pos="100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 w:cs="Arial"/>
          <w:color w:val="333333"/>
          <w:sz w:val="32"/>
          <w:szCs w:val="32"/>
          <w:shd w:val="clear" w:color="auto" w:fill="FFFFFF"/>
          <w:lang w:val="en-US"/>
        </w:rPr>
      </w:pPr>
    </w:p>
    <w:sectPr>
      <w:footerReference r:id="rId3" w:type="default"/>
      <w:pgSz w:w="12240" w:h="15840"/>
      <w:pgMar w:top="1440" w:right="184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6</w:t>
    </w:r>
    <w:r>
      <w:rPr>
        <w:lang w:val="en-US" w:eastAsia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418F"/>
    <w:multiLevelType w:val="singleLevel"/>
    <w:tmpl w:val="75A1418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1134"/>
  <w:hyphenationZone w:val="0"/>
  <w:doNotHyphenateCaps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A33654"/>
    <w:rsid w:val="00031F52"/>
    <w:rsid w:val="00046C21"/>
    <w:rsid w:val="000A1769"/>
    <w:rsid w:val="000A5FB6"/>
    <w:rsid w:val="000A7E71"/>
    <w:rsid w:val="000E6E99"/>
    <w:rsid w:val="000F270F"/>
    <w:rsid w:val="00101047"/>
    <w:rsid w:val="0010489B"/>
    <w:rsid w:val="0010541A"/>
    <w:rsid w:val="0011549F"/>
    <w:rsid w:val="00132CFD"/>
    <w:rsid w:val="00157F37"/>
    <w:rsid w:val="00162884"/>
    <w:rsid w:val="00162F84"/>
    <w:rsid w:val="001726B6"/>
    <w:rsid w:val="001929A2"/>
    <w:rsid w:val="001A34B1"/>
    <w:rsid w:val="001B2C5A"/>
    <w:rsid w:val="001C70D5"/>
    <w:rsid w:val="001F0728"/>
    <w:rsid w:val="001F1E8A"/>
    <w:rsid w:val="001F373D"/>
    <w:rsid w:val="001F563B"/>
    <w:rsid w:val="001F608B"/>
    <w:rsid w:val="001F734A"/>
    <w:rsid w:val="0020510F"/>
    <w:rsid w:val="0021087A"/>
    <w:rsid w:val="00250DBE"/>
    <w:rsid w:val="002779E6"/>
    <w:rsid w:val="00290A6A"/>
    <w:rsid w:val="00290B92"/>
    <w:rsid w:val="00294AFF"/>
    <w:rsid w:val="00295E00"/>
    <w:rsid w:val="002A7778"/>
    <w:rsid w:val="002C1322"/>
    <w:rsid w:val="002C1ACA"/>
    <w:rsid w:val="00305492"/>
    <w:rsid w:val="00340CB9"/>
    <w:rsid w:val="00353013"/>
    <w:rsid w:val="003555E0"/>
    <w:rsid w:val="00361ABC"/>
    <w:rsid w:val="00362F15"/>
    <w:rsid w:val="003825F5"/>
    <w:rsid w:val="003B6488"/>
    <w:rsid w:val="003C7121"/>
    <w:rsid w:val="003E1334"/>
    <w:rsid w:val="00410EC0"/>
    <w:rsid w:val="004135CA"/>
    <w:rsid w:val="0041524B"/>
    <w:rsid w:val="00451ABC"/>
    <w:rsid w:val="004809AC"/>
    <w:rsid w:val="004C33F4"/>
    <w:rsid w:val="004D7470"/>
    <w:rsid w:val="004E3041"/>
    <w:rsid w:val="004F2E26"/>
    <w:rsid w:val="00500074"/>
    <w:rsid w:val="00504DCC"/>
    <w:rsid w:val="00536EA8"/>
    <w:rsid w:val="005378D2"/>
    <w:rsid w:val="005465B0"/>
    <w:rsid w:val="00555394"/>
    <w:rsid w:val="00566604"/>
    <w:rsid w:val="005734E3"/>
    <w:rsid w:val="00585134"/>
    <w:rsid w:val="005B363F"/>
    <w:rsid w:val="005B3AA9"/>
    <w:rsid w:val="005C148E"/>
    <w:rsid w:val="005C4ECC"/>
    <w:rsid w:val="005D2F04"/>
    <w:rsid w:val="005E051D"/>
    <w:rsid w:val="005E5C56"/>
    <w:rsid w:val="005E5F7E"/>
    <w:rsid w:val="005F0B5F"/>
    <w:rsid w:val="0061756D"/>
    <w:rsid w:val="006240E4"/>
    <w:rsid w:val="00647649"/>
    <w:rsid w:val="006476DB"/>
    <w:rsid w:val="0068319E"/>
    <w:rsid w:val="0069158E"/>
    <w:rsid w:val="006926A9"/>
    <w:rsid w:val="006A5240"/>
    <w:rsid w:val="006A5963"/>
    <w:rsid w:val="006B2CA3"/>
    <w:rsid w:val="007227B0"/>
    <w:rsid w:val="00726977"/>
    <w:rsid w:val="00731B63"/>
    <w:rsid w:val="00741B0D"/>
    <w:rsid w:val="00744B69"/>
    <w:rsid w:val="00747E73"/>
    <w:rsid w:val="00751779"/>
    <w:rsid w:val="007629F2"/>
    <w:rsid w:val="00771B59"/>
    <w:rsid w:val="00775D9F"/>
    <w:rsid w:val="007801B0"/>
    <w:rsid w:val="007909DC"/>
    <w:rsid w:val="0079709D"/>
    <w:rsid w:val="007A1824"/>
    <w:rsid w:val="007B2D0D"/>
    <w:rsid w:val="007B6546"/>
    <w:rsid w:val="007E554B"/>
    <w:rsid w:val="007F67B3"/>
    <w:rsid w:val="00840797"/>
    <w:rsid w:val="00840A0E"/>
    <w:rsid w:val="008451CD"/>
    <w:rsid w:val="00847FF8"/>
    <w:rsid w:val="00852104"/>
    <w:rsid w:val="0088339D"/>
    <w:rsid w:val="00885EA9"/>
    <w:rsid w:val="008B5EF8"/>
    <w:rsid w:val="008B7D56"/>
    <w:rsid w:val="008C0EDB"/>
    <w:rsid w:val="008C505B"/>
    <w:rsid w:val="008E29A0"/>
    <w:rsid w:val="008E5894"/>
    <w:rsid w:val="008E6109"/>
    <w:rsid w:val="008F1A9A"/>
    <w:rsid w:val="008F1E03"/>
    <w:rsid w:val="00921CE7"/>
    <w:rsid w:val="00923F4C"/>
    <w:rsid w:val="00927E59"/>
    <w:rsid w:val="00966546"/>
    <w:rsid w:val="00967585"/>
    <w:rsid w:val="009728F1"/>
    <w:rsid w:val="00992F0A"/>
    <w:rsid w:val="00995728"/>
    <w:rsid w:val="009A736D"/>
    <w:rsid w:val="009B7625"/>
    <w:rsid w:val="009C7AD0"/>
    <w:rsid w:val="009E336B"/>
    <w:rsid w:val="009F4E44"/>
    <w:rsid w:val="009F53C6"/>
    <w:rsid w:val="009F6252"/>
    <w:rsid w:val="00A12AE6"/>
    <w:rsid w:val="00A33654"/>
    <w:rsid w:val="00A42A19"/>
    <w:rsid w:val="00A5378D"/>
    <w:rsid w:val="00A5539F"/>
    <w:rsid w:val="00A62441"/>
    <w:rsid w:val="00A7596D"/>
    <w:rsid w:val="00A9578A"/>
    <w:rsid w:val="00AB1DAE"/>
    <w:rsid w:val="00AC52E9"/>
    <w:rsid w:val="00AC54A4"/>
    <w:rsid w:val="00B0747D"/>
    <w:rsid w:val="00B100F5"/>
    <w:rsid w:val="00B2561B"/>
    <w:rsid w:val="00B425E4"/>
    <w:rsid w:val="00B4790F"/>
    <w:rsid w:val="00B74960"/>
    <w:rsid w:val="00B7578D"/>
    <w:rsid w:val="00B82205"/>
    <w:rsid w:val="00B831B2"/>
    <w:rsid w:val="00B943B8"/>
    <w:rsid w:val="00BA3231"/>
    <w:rsid w:val="00BB4A7B"/>
    <w:rsid w:val="00BC29A3"/>
    <w:rsid w:val="00BD7EF4"/>
    <w:rsid w:val="00BE683E"/>
    <w:rsid w:val="00BF48D0"/>
    <w:rsid w:val="00C02415"/>
    <w:rsid w:val="00C026AC"/>
    <w:rsid w:val="00C03FBA"/>
    <w:rsid w:val="00C14107"/>
    <w:rsid w:val="00C34D39"/>
    <w:rsid w:val="00C4691D"/>
    <w:rsid w:val="00C47552"/>
    <w:rsid w:val="00C534A6"/>
    <w:rsid w:val="00C562E1"/>
    <w:rsid w:val="00C6237D"/>
    <w:rsid w:val="00C67B42"/>
    <w:rsid w:val="00C71559"/>
    <w:rsid w:val="00C93461"/>
    <w:rsid w:val="00C95DB0"/>
    <w:rsid w:val="00CC557F"/>
    <w:rsid w:val="00CC634E"/>
    <w:rsid w:val="00D46F81"/>
    <w:rsid w:val="00D9455C"/>
    <w:rsid w:val="00D96A52"/>
    <w:rsid w:val="00DB0410"/>
    <w:rsid w:val="00DC35AE"/>
    <w:rsid w:val="00DC5535"/>
    <w:rsid w:val="00DC7490"/>
    <w:rsid w:val="00DD33F1"/>
    <w:rsid w:val="00DE1F52"/>
    <w:rsid w:val="00DE7464"/>
    <w:rsid w:val="00E03235"/>
    <w:rsid w:val="00E13A20"/>
    <w:rsid w:val="00E13E68"/>
    <w:rsid w:val="00E16771"/>
    <w:rsid w:val="00E326F6"/>
    <w:rsid w:val="00E5273C"/>
    <w:rsid w:val="00E64CA4"/>
    <w:rsid w:val="00E77F26"/>
    <w:rsid w:val="00EA34F9"/>
    <w:rsid w:val="00EC2A93"/>
    <w:rsid w:val="00EC4C40"/>
    <w:rsid w:val="00EE0F90"/>
    <w:rsid w:val="00EE6B8C"/>
    <w:rsid w:val="00EE7FCC"/>
    <w:rsid w:val="00F01A5B"/>
    <w:rsid w:val="00F052D8"/>
    <w:rsid w:val="00F22451"/>
    <w:rsid w:val="00F228F8"/>
    <w:rsid w:val="00F2301A"/>
    <w:rsid w:val="00F430EA"/>
    <w:rsid w:val="00F47B1D"/>
    <w:rsid w:val="00F53006"/>
    <w:rsid w:val="00F539E6"/>
    <w:rsid w:val="00F61BCC"/>
    <w:rsid w:val="00F7324F"/>
    <w:rsid w:val="00F83B3F"/>
    <w:rsid w:val="00F8529E"/>
    <w:rsid w:val="00F93803"/>
    <w:rsid w:val="00F94AB1"/>
    <w:rsid w:val="00F9692C"/>
    <w:rsid w:val="00FF63F5"/>
    <w:rsid w:val="04B2608F"/>
    <w:rsid w:val="09182BA6"/>
    <w:rsid w:val="094B6519"/>
    <w:rsid w:val="09D34936"/>
    <w:rsid w:val="0B25672A"/>
    <w:rsid w:val="0C8370DF"/>
    <w:rsid w:val="0C974601"/>
    <w:rsid w:val="0E1B4858"/>
    <w:rsid w:val="13A764A0"/>
    <w:rsid w:val="1649037D"/>
    <w:rsid w:val="19C33223"/>
    <w:rsid w:val="1AB20698"/>
    <w:rsid w:val="1D657EC5"/>
    <w:rsid w:val="1E9A69CC"/>
    <w:rsid w:val="1FCC3717"/>
    <w:rsid w:val="26E53B67"/>
    <w:rsid w:val="28003A90"/>
    <w:rsid w:val="2AC86EA6"/>
    <w:rsid w:val="2B3427DE"/>
    <w:rsid w:val="38E83761"/>
    <w:rsid w:val="3E3102AB"/>
    <w:rsid w:val="3EE12D4B"/>
    <w:rsid w:val="407E1EB9"/>
    <w:rsid w:val="41E200C2"/>
    <w:rsid w:val="456C2436"/>
    <w:rsid w:val="47D35D1E"/>
    <w:rsid w:val="483313C7"/>
    <w:rsid w:val="483A74D4"/>
    <w:rsid w:val="4E657F86"/>
    <w:rsid w:val="4E672A1C"/>
    <w:rsid w:val="4EC47F12"/>
    <w:rsid w:val="5215497A"/>
    <w:rsid w:val="52E30413"/>
    <w:rsid w:val="57C43F96"/>
    <w:rsid w:val="584D1EC5"/>
    <w:rsid w:val="5C7D733B"/>
    <w:rsid w:val="5CB0531C"/>
    <w:rsid w:val="5DED6B07"/>
    <w:rsid w:val="5F0C0DF3"/>
    <w:rsid w:val="5F5B6D6D"/>
    <w:rsid w:val="60426021"/>
    <w:rsid w:val="61815321"/>
    <w:rsid w:val="64085976"/>
    <w:rsid w:val="642872C3"/>
    <w:rsid w:val="670F484F"/>
    <w:rsid w:val="67673003"/>
    <w:rsid w:val="67A77178"/>
    <w:rsid w:val="67DF76F5"/>
    <w:rsid w:val="6D4E7EF2"/>
    <w:rsid w:val="71AA6C4C"/>
    <w:rsid w:val="721F699C"/>
    <w:rsid w:val="761B2191"/>
    <w:rsid w:val="7DE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rPr>
      <w:rFonts w:ascii="Times New Roman" w:hAnsi="Times New Roman" w:eastAsia="宋体" w:cs="Times New Roman"/>
      <w:lang w:val="zh-CN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0"/>
    <w:rPr>
      <w:sz w:val="18"/>
      <w:szCs w:val="18"/>
      <w:lang w:val="zh-CN" w:eastAsia="en-US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  <w:lang w:val="zh-CN" w:eastAsia="en-US"/>
    </w:rPr>
  </w:style>
  <w:style w:type="paragraph" w:customStyle="1" w:styleId="10">
    <w:name w:val="[Normal]"/>
    <w:qFormat/>
    <w:uiPriority w:val="6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gdcz</Company>
  <Pages>6</Pages>
  <Words>287</Words>
  <Characters>1640</Characters>
  <Lines>13</Lines>
  <Paragraphs>3</Paragraphs>
  <TotalTime>14</TotalTime>
  <ScaleCrop>false</ScaleCrop>
  <LinksUpToDate>false</LinksUpToDate>
  <CharactersWithSpaces>1924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2021-01-21T01:22:00Z</dcterms:created>
  <dc:creator>Administrator</dc:creator>
  <cp:lastModifiedBy>追梦</cp:lastModifiedBy>
  <cp:lastPrinted>2021-01-26T01:10:36Z</cp:lastPrinted>
  <dcterms:modified xsi:type="dcterms:W3CDTF">2021-01-26T01:10:46Z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EDOID">
    <vt:r8>69370</vt:r8>
  </property>
  <property fmtid="{D5CDD505-2E9C-101B-9397-08002B2CF9AE}" pid="4" name="KSOSaveFontToCloudKey">
    <vt:lpwstr>288381886_btnclosed</vt:lpwstr>
  </property>
</Properties>
</file>