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省以上新闻宣传及上稿奖励经费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中央、省级主要媒体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上进行新闻宣传及奖励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项目投资总额：20万元。其中本年专项（项目）资金20万元（1.中央财政     万元，2.省级财政    万元，3.市级财政20万元，4.其它资金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1、新闻领对外交流合作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新闻媒体工作。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统筹指导协调推动全市精神文化产品的创作和生产。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实施2020年完成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29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005" w:leftChars="50" w:hanging="900" w:hangingChars="3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169B7"/>
    <w:rsid w:val="001762BD"/>
    <w:rsid w:val="00186706"/>
    <w:rsid w:val="00201D78"/>
    <w:rsid w:val="004E4A63"/>
    <w:rsid w:val="00517F34"/>
    <w:rsid w:val="005B3B0B"/>
    <w:rsid w:val="007139EA"/>
    <w:rsid w:val="007923E4"/>
    <w:rsid w:val="0092216D"/>
    <w:rsid w:val="00931BA9"/>
    <w:rsid w:val="00972F3B"/>
    <w:rsid w:val="00C8683C"/>
    <w:rsid w:val="00D6106D"/>
    <w:rsid w:val="00E61CE9"/>
    <w:rsid w:val="00EC15C2"/>
    <w:rsid w:val="00F01CE3"/>
    <w:rsid w:val="00F1398A"/>
    <w:rsid w:val="00F23DE6"/>
    <w:rsid w:val="00F56DAA"/>
    <w:rsid w:val="555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973</Characters>
  <Lines>8</Lines>
  <Paragraphs>2</Paragraphs>
  <TotalTime>2</TotalTime>
  <ScaleCrop>false</ScaleCrop>
  <LinksUpToDate>false</LinksUpToDate>
  <CharactersWithSpaces>1141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2021-01-26T05:37:00Z</dcterms:created>
  <dc:creator>Administrator</dc:creator>
  <cp:lastModifiedBy>Administrator</cp:lastModifiedBy>
  <cp:lastPrinted>2021-01-26T07:44:54Z</cp:lastPrinted>
  <dcterms:modified xsi:type="dcterms:W3CDTF">2021-01-26T07:46:11Z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