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一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840"/>
        <w:gridCol w:w="1290"/>
        <w:gridCol w:w="2480"/>
        <w:gridCol w:w="1640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中共邵阳市委网络安全和信息化委员会办公室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（盖章）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中共邵阳市委网络安全和信息化委员会办公室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450万元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2021年1月-2021年12月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加强网上正面宣传，强化网上舆论引导，推进全市关键信息基础设施网络安全检查，维持网络安全和舆情监控应急指挥中心正常运行。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加强网上正面宣传，强化网上舆论引导，推进全市关键信息基础设施网络安全检查，维持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网络安全和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舆情监控应急指挥中心正常运行。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网络安全宣传周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1周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网评员培训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≥1次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全市网络意识形态工作培训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培训合格率95%以上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各项任务按期完成率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完成任务培训会议经费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16万元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为经济社会发展营造清明网络空间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明显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加大网上正面宣传弘扬社会正能量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提质升级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加大网上正面宣传弘扬社会正能量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提质升级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营造清明网络空间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不断加强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网络问政回复满意度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2021-01-25T06:58:19Z</dcterms:created>
  <dc:creator>Lenovo</dc:creator>
  <cp:lastModifiedBy>追梦</cp:lastModifiedBy>
  <dcterms:modified xsi:type="dcterms:W3CDTF">2021-01-25T07:00:56Z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288381886_btnclosed</vt:lpwstr>
  </property>
</Properties>
</file>